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9E" w:rsidRDefault="005F329E" w:rsidP="005F329E">
      <w:pPr>
        <w:pStyle w:val="NoSpacing"/>
        <w:rPr>
          <w:rFonts w:ascii="Footlight MT Light" w:hAnsi="Footlight MT Light" w:cs="Andalus"/>
          <w:b/>
          <w:sz w:val="34"/>
          <w:szCs w:val="34"/>
        </w:rPr>
      </w:pPr>
      <w:r>
        <w:rPr>
          <w:rFonts w:ascii="Footlight MT Light" w:hAnsi="Footlight MT Light" w:cs="Andalus"/>
          <w:b/>
          <w:sz w:val="34"/>
          <w:szCs w:val="34"/>
        </w:rPr>
        <w:t>NAGALAND ELECTRICITY REGULATORY COMMISSION (NERC)</w:t>
      </w:r>
    </w:p>
    <w:p w:rsidR="005F329E" w:rsidRPr="009D26E5" w:rsidRDefault="005F329E" w:rsidP="005F329E">
      <w:pPr>
        <w:pStyle w:val="NoSpacing"/>
        <w:ind w:right="-188"/>
        <w:jc w:val="center"/>
        <w:rPr>
          <w:rFonts w:ascii="Footlight MT Light" w:hAnsi="Footlight MT Light" w:cs="Andalus"/>
          <w:b/>
          <w:sz w:val="34"/>
          <w:szCs w:val="34"/>
        </w:rPr>
      </w:pPr>
      <w:r>
        <w:rPr>
          <w:rFonts w:ascii="Footlight MT Light" w:hAnsi="Footlight MT Light" w:cs="Andalus"/>
          <w:b/>
          <w:sz w:val="34"/>
          <w:szCs w:val="34"/>
        </w:rPr>
        <w:t>NAGALAND : KOHIMA</w:t>
      </w:r>
    </w:p>
    <w:p w:rsidR="005F329E" w:rsidRPr="00A73496" w:rsidRDefault="005F329E" w:rsidP="005F329E">
      <w:pPr>
        <w:pStyle w:val="NoSpacing"/>
        <w:ind w:right="-46" w:firstLine="720"/>
        <w:jc w:val="right"/>
        <w:rPr>
          <w:rFonts w:cs="Andalus"/>
          <w:i/>
          <w:sz w:val="18"/>
          <w:szCs w:val="18"/>
        </w:rPr>
      </w:pPr>
      <w:r w:rsidRPr="00A73496">
        <w:rPr>
          <w:rFonts w:cs="Andalus"/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cs="Andalus"/>
          <w:i/>
          <w:sz w:val="18"/>
          <w:szCs w:val="18"/>
        </w:rPr>
        <w:t>Upper Agri Colony, H</w:t>
      </w:r>
      <w:r w:rsidRPr="00A73496">
        <w:rPr>
          <w:rFonts w:cs="Andalus"/>
          <w:i/>
          <w:sz w:val="18"/>
          <w:szCs w:val="18"/>
        </w:rPr>
        <w:t>ouse No.341,</w:t>
      </w:r>
    </w:p>
    <w:p w:rsidR="005F329E" w:rsidRPr="00A73496" w:rsidRDefault="005F329E" w:rsidP="005F329E">
      <w:pPr>
        <w:pStyle w:val="NoSpacing"/>
        <w:ind w:right="-46"/>
        <w:jc w:val="right"/>
        <w:rPr>
          <w:rFonts w:cs="Andalus"/>
          <w:i/>
          <w:sz w:val="18"/>
          <w:szCs w:val="18"/>
        </w:rPr>
      </w:pPr>
      <w:r w:rsidRPr="00A73496">
        <w:rPr>
          <w:rFonts w:cs="Andalus"/>
          <w:i/>
          <w:sz w:val="18"/>
          <w:szCs w:val="18"/>
        </w:rPr>
        <w:t>Nagaland:Kohima-797001</w:t>
      </w:r>
    </w:p>
    <w:p w:rsidR="005F329E" w:rsidRPr="00A73496" w:rsidRDefault="005F329E" w:rsidP="005F329E">
      <w:pPr>
        <w:pStyle w:val="NoSpacing"/>
        <w:ind w:right="-46"/>
        <w:jc w:val="right"/>
        <w:rPr>
          <w:rFonts w:cs="Andalus"/>
          <w:i/>
          <w:sz w:val="18"/>
          <w:szCs w:val="18"/>
        </w:rPr>
      </w:pPr>
      <w:r w:rsidRPr="00A73496">
        <w:rPr>
          <w:rFonts w:cs="Andalus"/>
          <w:sz w:val="18"/>
          <w:szCs w:val="18"/>
        </w:rPr>
        <w:t>Tel</w:t>
      </w:r>
      <w:r w:rsidRPr="00A73496">
        <w:rPr>
          <w:rFonts w:cs="Andalus"/>
          <w:i/>
          <w:sz w:val="18"/>
          <w:szCs w:val="18"/>
        </w:rPr>
        <w:t>: (0370)2292101(o)/2241592(R)</w:t>
      </w:r>
    </w:p>
    <w:p w:rsidR="005F329E" w:rsidRPr="00A73496" w:rsidRDefault="005F329E" w:rsidP="005F329E">
      <w:pPr>
        <w:pStyle w:val="NoSpacing"/>
        <w:ind w:right="-46"/>
        <w:jc w:val="right"/>
        <w:rPr>
          <w:rFonts w:cs="Andalus"/>
          <w:i/>
          <w:sz w:val="18"/>
          <w:szCs w:val="18"/>
        </w:rPr>
      </w:pPr>
      <w:r w:rsidRPr="00A73496">
        <w:rPr>
          <w:rFonts w:cs="Andalus"/>
          <w:sz w:val="18"/>
          <w:szCs w:val="18"/>
        </w:rPr>
        <w:t>Fax</w:t>
      </w:r>
      <w:r w:rsidRPr="00A73496">
        <w:rPr>
          <w:rFonts w:cs="Andalus"/>
          <w:i/>
          <w:sz w:val="18"/>
          <w:szCs w:val="18"/>
        </w:rPr>
        <w:t>: 2292104(o); www.nerc.org.in</w:t>
      </w:r>
    </w:p>
    <w:p w:rsidR="005F329E" w:rsidRPr="00A73496" w:rsidRDefault="005F329E" w:rsidP="005F329E">
      <w:pPr>
        <w:pStyle w:val="NoSpacing"/>
        <w:ind w:right="-46"/>
        <w:jc w:val="right"/>
        <w:rPr>
          <w:rFonts w:cs="Andalus"/>
          <w:i/>
          <w:sz w:val="18"/>
          <w:szCs w:val="18"/>
        </w:rPr>
      </w:pPr>
      <w:r w:rsidRPr="00A73496">
        <w:rPr>
          <w:rFonts w:cs="Andalus"/>
          <w:sz w:val="18"/>
          <w:szCs w:val="18"/>
        </w:rPr>
        <w:t>e-mail</w:t>
      </w:r>
      <w:r w:rsidRPr="00A73496">
        <w:rPr>
          <w:rFonts w:cs="Andalus"/>
          <w:i/>
          <w:sz w:val="18"/>
          <w:szCs w:val="18"/>
        </w:rPr>
        <w:t>:nerc_kohima@yahoo.com</w:t>
      </w:r>
    </w:p>
    <w:p w:rsidR="005F329E" w:rsidRPr="00A73496" w:rsidRDefault="005F329E" w:rsidP="005F329E">
      <w:pPr>
        <w:pStyle w:val="NoSpacing"/>
        <w:ind w:right="-46"/>
        <w:jc w:val="right"/>
        <w:rPr>
          <w:rFonts w:cs="Andalus"/>
          <w:i/>
          <w:sz w:val="18"/>
          <w:szCs w:val="18"/>
        </w:rPr>
      </w:pPr>
      <w:r w:rsidRPr="00A73496">
        <w:rPr>
          <w:rFonts w:cs="Andalus"/>
          <w:i/>
          <w:sz w:val="18"/>
          <w:szCs w:val="18"/>
        </w:rPr>
        <w:t>nerckohima@hotmail.com</w:t>
      </w:r>
    </w:p>
    <w:p w:rsidR="005F329E" w:rsidRDefault="005F329E" w:rsidP="005F329E">
      <w:pPr>
        <w:pStyle w:val="NoSpacing"/>
        <w:ind w:right="-46"/>
        <w:rPr>
          <w:rFonts w:ascii="Footlight MT Light" w:hAnsi="Footlight MT Light"/>
          <w:b/>
          <w:sz w:val="24"/>
          <w:szCs w:val="24"/>
        </w:rPr>
      </w:pPr>
    </w:p>
    <w:p w:rsidR="005F329E" w:rsidRPr="00715461" w:rsidRDefault="005F329E" w:rsidP="005F329E">
      <w:pPr>
        <w:pStyle w:val="NoSpacing"/>
        <w:ind w:right="-46"/>
        <w:rPr>
          <w:rFonts w:ascii="Footlight MT Light" w:hAnsi="Footlight MT Light"/>
          <w:b/>
          <w:sz w:val="24"/>
          <w:szCs w:val="24"/>
        </w:rPr>
      </w:pPr>
      <w:r w:rsidRPr="00715461">
        <w:rPr>
          <w:rFonts w:ascii="Footlight MT Light" w:hAnsi="Footlight MT Light"/>
          <w:b/>
          <w:sz w:val="24"/>
          <w:szCs w:val="24"/>
        </w:rPr>
        <w:t>No.NERC/</w:t>
      </w:r>
      <w:r>
        <w:rPr>
          <w:rFonts w:ascii="Footlight MT Light" w:hAnsi="Footlight MT Light"/>
          <w:b/>
          <w:sz w:val="24"/>
          <w:szCs w:val="24"/>
        </w:rPr>
        <w:t>N&amp;RE/TARIFF</w:t>
      </w:r>
      <w:r w:rsidRPr="00715461">
        <w:rPr>
          <w:rFonts w:ascii="Footlight MT Light" w:hAnsi="Footlight MT Light"/>
          <w:b/>
          <w:sz w:val="24"/>
          <w:szCs w:val="24"/>
        </w:rPr>
        <w:t>/</w:t>
      </w:r>
      <w:r>
        <w:rPr>
          <w:rFonts w:ascii="Footlight MT Light" w:hAnsi="Footlight MT Light"/>
          <w:b/>
          <w:sz w:val="24"/>
          <w:szCs w:val="24"/>
        </w:rPr>
        <w:t>T</w:t>
      </w:r>
      <w:r w:rsidRPr="00715461">
        <w:rPr>
          <w:rFonts w:ascii="Footlight MT Light" w:hAnsi="Footlight MT Light"/>
          <w:b/>
          <w:sz w:val="24"/>
          <w:szCs w:val="24"/>
        </w:rPr>
        <w:t>-</w:t>
      </w:r>
      <w:r>
        <w:rPr>
          <w:rFonts w:ascii="Footlight MT Light" w:hAnsi="Footlight MT Light"/>
          <w:b/>
          <w:sz w:val="24"/>
          <w:szCs w:val="24"/>
        </w:rPr>
        <w:t>3(Pt.-III)</w:t>
      </w:r>
      <w:r w:rsidRPr="00715461">
        <w:rPr>
          <w:rFonts w:ascii="Footlight MT Light" w:hAnsi="Footlight MT Light"/>
          <w:b/>
          <w:sz w:val="24"/>
          <w:szCs w:val="24"/>
        </w:rPr>
        <w:t>/2017/</w:t>
      </w:r>
      <w:r w:rsidR="00E41368">
        <w:rPr>
          <w:rFonts w:ascii="Footlight MT Light" w:hAnsi="Footlight MT Light"/>
          <w:b/>
          <w:sz w:val="24"/>
          <w:szCs w:val="24"/>
        </w:rPr>
        <w:t>124</w:t>
      </w:r>
      <w:r w:rsidRPr="00715461">
        <w:rPr>
          <w:rFonts w:ascii="Footlight MT Light" w:hAnsi="Footlight MT Light"/>
          <w:b/>
          <w:sz w:val="24"/>
          <w:szCs w:val="24"/>
        </w:rPr>
        <w:t xml:space="preserve">          </w:t>
      </w:r>
      <w:r w:rsidR="00E41368">
        <w:rPr>
          <w:rFonts w:ascii="Footlight MT Light" w:hAnsi="Footlight MT Light"/>
          <w:b/>
          <w:sz w:val="24"/>
          <w:szCs w:val="24"/>
        </w:rPr>
        <w:t xml:space="preserve">    </w:t>
      </w:r>
      <w:r w:rsidRPr="00715461">
        <w:rPr>
          <w:rFonts w:ascii="Footlight MT Light" w:hAnsi="Footlight MT Light"/>
          <w:b/>
          <w:sz w:val="24"/>
          <w:szCs w:val="24"/>
        </w:rPr>
        <w:t xml:space="preserve">Dated Kohima, the  </w:t>
      </w:r>
      <w:r w:rsidR="00E41368">
        <w:rPr>
          <w:rFonts w:ascii="Footlight MT Light" w:hAnsi="Footlight MT Light"/>
          <w:b/>
          <w:sz w:val="24"/>
          <w:szCs w:val="24"/>
        </w:rPr>
        <w:t>30</w:t>
      </w:r>
      <w:r w:rsidRPr="00715461">
        <w:rPr>
          <w:rFonts w:ascii="Footlight MT Light" w:hAnsi="Footlight MT Light"/>
          <w:b/>
          <w:sz w:val="24"/>
          <w:szCs w:val="24"/>
        </w:rPr>
        <w:t xml:space="preserve"> </w:t>
      </w:r>
      <w:r w:rsidRPr="00715461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715461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b/>
          <w:sz w:val="24"/>
          <w:szCs w:val="24"/>
        </w:rPr>
        <w:t>Nov.</w:t>
      </w:r>
      <w:r w:rsidRPr="00715461">
        <w:rPr>
          <w:rFonts w:ascii="Footlight MT Light" w:hAnsi="Footlight MT Light"/>
          <w:b/>
          <w:sz w:val="24"/>
          <w:szCs w:val="24"/>
        </w:rPr>
        <w:t>, ’1 7</w:t>
      </w:r>
    </w:p>
    <w:p w:rsidR="005F329E" w:rsidRDefault="005F329E" w:rsidP="005322A9">
      <w:pPr>
        <w:pStyle w:val="NoSpacing"/>
      </w:pPr>
    </w:p>
    <w:p w:rsidR="00E31509" w:rsidRPr="0030324F" w:rsidRDefault="00E31509" w:rsidP="00E315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Public Notice</w:t>
      </w:r>
    </w:p>
    <w:p w:rsidR="0057459C" w:rsidRPr="006B0336" w:rsidRDefault="008C036A" w:rsidP="005745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is to notify </w:t>
      </w:r>
      <w:r w:rsidR="00E31509" w:rsidRPr="006B0336">
        <w:rPr>
          <w:rFonts w:cs="Times New Roman"/>
          <w:sz w:val="24"/>
          <w:szCs w:val="24"/>
        </w:rPr>
        <w:t xml:space="preserve">to all </w:t>
      </w:r>
      <w:r>
        <w:rPr>
          <w:rFonts w:cs="Times New Roman"/>
          <w:sz w:val="24"/>
          <w:szCs w:val="24"/>
        </w:rPr>
        <w:t xml:space="preserve">the </w:t>
      </w:r>
      <w:r w:rsidR="00317CDB">
        <w:rPr>
          <w:rFonts w:cs="Times New Roman"/>
          <w:sz w:val="24"/>
          <w:szCs w:val="24"/>
        </w:rPr>
        <w:t>Consumer</w:t>
      </w:r>
      <w:r>
        <w:rPr>
          <w:rFonts w:cs="Times New Roman"/>
          <w:sz w:val="24"/>
          <w:szCs w:val="24"/>
        </w:rPr>
        <w:t xml:space="preserve"> &amp; S</w:t>
      </w:r>
      <w:r w:rsidR="00E31509" w:rsidRPr="006B0336">
        <w:rPr>
          <w:rFonts w:cs="Times New Roman"/>
          <w:sz w:val="24"/>
          <w:szCs w:val="24"/>
        </w:rPr>
        <w:t xml:space="preserve">takeholders of the </w:t>
      </w:r>
      <w:r w:rsidR="00E31509">
        <w:rPr>
          <w:rFonts w:cs="Times New Roman"/>
          <w:sz w:val="24"/>
          <w:szCs w:val="24"/>
        </w:rPr>
        <w:t>state of Nagaland</w:t>
      </w:r>
      <w:r w:rsidR="00E31509" w:rsidRPr="006B0336">
        <w:rPr>
          <w:rFonts w:cs="Times New Roman"/>
          <w:sz w:val="24"/>
          <w:szCs w:val="24"/>
        </w:rPr>
        <w:t xml:space="preserve"> that </w:t>
      </w:r>
      <w:r w:rsidR="00E31509">
        <w:rPr>
          <w:rFonts w:cs="Times New Roman"/>
          <w:sz w:val="24"/>
          <w:szCs w:val="24"/>
        </w:rPr>
        <w:t>M/s Harit Dynamics Pvt. Ltd.</w:t>
      </w:r>
      <w:r w:rsidR="00E31509" w:rsidRPr="006B033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and M/s Eleutheros Christian Society, Nagaland </w:t>
      </w:r>
      <w:r w:rsidR="00E31509" w:rsidRPr="006B0336">
        <w:rPr>
          <w:rFonts w:cs="Times New Roman"/>
          <w:sz w:val="24"/>
          <w:szCs w:val="24"/>
        </w:rPr>
        <w:t xml:space="preserve">has filed </w:t>
      </w:r>
      <w:r w:rsidR="00E31509">
        <w:rPr>
          <w:rFonts w:cs="Times New Roman"/>
          <w:sz w:val="24"/>
          <w:szCs w:val="24"/>
        </w:rPr>
        <w:t>a</w:t>
      </w:r>
      <w:r w:rsidR="00E31509" w:rsidRPr="006B0336">
        <w:rPr>
          <w:rFonts w:cs="Times New Roman"/>
          <w:sz w:val="24"/>
          <w:szCs w:val="24"/>
        </w:rPr>
        <w:t xml:space="preserve"> petition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for Generation</w:t>
      </w:r>
      <w:r w:rsidR="0057459C" w:rsidRPr="006B033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Tariff Determination of 22.5 MW</w:t>
      </w:r>
      <w:r w:rsidR="0057459C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Hakchang </w:t>
      </w:r>
      <w:r w:rsidR="0057459C">
        <w:rPr>
          <w:rFonts w:cs="Arial"/>
          <w:b/>
          <w:sz w:val="24"/>
          <w:szCs w:val="24"/>
        </w:rPr>
        <w:t>small hydro plant of 3x7.5 MW at Y</w:t>
      </w:r>
      <w:r>
        <w:rPr>
          <w:rFonts w:cs="Arial"/>
          <w:b/>
          <w:sz w:val="24"/>
          <w:szCs w:val="24"/>
        </w:rPr>
        <w:t>ijung River under Tuensang District, Nagaland.</w:t>
      </w:r>
    </w:p>
    <w:p w:rsidR="00E31509" w:rsidRPr="008C036A" w:rsidRDefault="00E31509" w:rsidP="00E31509">
      <w:pPr>
        <w:jc w:val="both"/>
        <w:rPr>
          <w:rFonts w:cs="Times New Roman"/>
          <w:b/>
          <w:sz w:val="24"/>
          <w:szCs w:val="24"/>
        </w:rPr>
      </w:pPr>
      <w:r w:rsidRPr="006B0336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above </w:t>
      </w:r>
      <w:r w:rsidRPr="006B0336">
        <w:rPr>
          <w:rFonts w:cs="Times New Roman"/>
          <w:sz w:val="24"/>
          <w:szCs w:val="24"/>
        </w:rPr>
        <w:t>petition</w:t>
      </w:r>
      <w:r>
        <w:rPr>
          <w:rFonts w:cs="Times New Roman"/>
          <w:sz w:val="24"/>
          <w:szCs w:val="24"/>
        </w:rPr>
        <w:t xml:space="preserve"> has been admitted</w:t>
      </w:r>
      <w:r w:rsidR="008C036A">
        <w:rPr>
          <w:rFonts w:cs="Times New Roman"/>
          <w:sz w:val="24"/>
          <w:szCs w:val="24"/>
        </w:rPr>
        <w:t xml:space="preserve"> vide case No. 02/2017 </w:t>
      </w:r>
      <w:r w:rsidRPr="006B0336">
        <w:rPr>
          <w:rFonts w:cs="Times New Roman"/>
          <w:sz w:val="24"/>
          <w:szCs w:val="24"/>
        </w:rPr>
        <w:t xml:space="preserve">and </w:t>
      </w:r>
      <w:r w:rsidR="00564BBE">
        <w:rPr>
          <w:rFonts w:cs="Times New Roman"/>
          <w:sz w:val="24"/>
          <w:szCs w:val="24"/>
        </w:rPr>
        <w:t>the DPR &amp; Tariff Proposal are</w:t>
      </w:r>
      <w:r w:rsidRPr="006B0336">
        <w:rPr>
          <w:rFonts w:cs="Times New Roman"/>
          <w:sz w:val="24"/>
          <w:szCs w:val="24"/>
        </w:rPr>
        <w:t xml:space="preserve"> available on the website </w:t>
      </w:r>
      <w:r w:rsidRPr="00564BBE">
        <w:rPr>
          <w:rFonts w:cs="Times New Roman"/>
          <w:sz w:val="24"/>
          <w:szCs w:val="24"/>
        </w:rPr>
        <w:t xml:space="preserve">of the Commission </w:t>
      </w:r>
      <w:hyperlink r:id="rId8" w:history="1">
        <w:r w:rsidR="0057459C" w:rsidRPr="00564BBE">
          <w:rPr>
            <w:rStyle w:val="Hyperlink"/>
            <w:rFonts w:cs="Times New Roman"/>
            <w:color w:val="auto"/>
            <w:sz w:val="24"/>
            <w:szCs w:val="24"/>
            <w:u w:val="none"/>
          </w:rPr>
          <w:t>http://www.nerc.org.in</w:t>
        </w:r>
      </w:hyperlink>
      <w:r w:rsidR="008C036A" w:rsidRPr="00564BBE">
        <w:t>.</w:t>
      </w:r>
    </w:p>
    <w:p w:rsidR="005F329E" w:rsidRPr="008C036A" w:rsidRDefault="005F329E" w:rsidP="005F329E">
      <w:pPr>
        <w:pStyle w:val="NoSpacing"/>
        <w:spacing w:line="480" w:lineRule="auto"/>
        <w:rPr>
          <w:rFonts w:ascii="Arial" w:hAnsi="Arial" w:cs="Arial"/>
          <w:b/>
          <w:szCs w:val="24"/>
          <w:lang w:val="en-US" w:eastAsia="en-US"/>
        </w:rPr>
      </w:pPr>
      <w:r w:rsidRPr="008C036A">
        <w:rPr>
          <w:rFonts w:ascii="Arial" w:hAnsi="Arial" w:cs="Arial"/>
          <w:b/>
          <w:szCs w:val="24"/>
          <w:lang w:val="en-US" w:eastAsia="en-US"/>
        </w:rPr>
        <w:t>The summary of DPR</w:t>
      </w:r>
      <w:r w:rsidR="005770E9">
        <w:rPr>
          <w:rFonts w:ascii="Arial" w:hAnsi="Arial" w:cs="Arial"/>
          <w:b/>
          <w:szCs w:val="24"/>
          <w:lang w:val="en-US" w:eastAsia="en-US"/>
        </w:rPr>
        <w:t xml:space="preserve"> &amp; Tariff Proposal</w:t>
      </w:r>
      <w:r w:rsidRPr="008C036A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96038B">
        <w:rPr>
          <w:rFonts w:ascii="Arial" w:hAnsi="Arial" w:cs="Arial"/>
          <w:b/>
          <w:szCs w:val="24"/>
          <w:lang w:val="en-US" w:eastAsia="en-US"/>
        </w:rPr>
        <w:t>are</w:t>
      </w:r>
      <w:r w:rsidR="008C036A">
        <w:rPr>
          <w:rFonts w:ascii="Arial" w:hAnsi="Arial" w:cs="Arial"/>
          <w:b/>
          <w:szCs w:val="24"/>
          <w:lang w:val="en-US" w:eastAsia="en-US"/>
        </w:rPr>
        <w:t xml:space="preserve"> as</w:t>
      </w:r>
      <w:r w:rsidRPr="008C036A">
        <w:rPr>
          <w:rFonts w:ascii="Arial" w:hAnsi="Arial" w:cs="Arial"/>
          <w:b/>
          <w:szCs w:val="24"/>
          <w:lang w:val="en-US" w:eastAsia="en-US"/>
        </w:rPr>
        <w:t xml:space="preserve"> below: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2545"/>
        <w:gridCol w:w="5387"/>
      </w:tblGrid>
      <w:tr w:rsidR="005F329E" w:rsidTr="00CE38AA">
        <w:tc>
          <w:tcPr>
            <w:tcW w:w="857" w:type="dxa"/>
            <w:vAlign w:val="center"/>
          </w:tcPr>
          <w:p w:rsidR="005F329E" w:rsidRPr="005F329E" w:rsidRDefault="005F329E" w:rsidP="005F329E">
            <w:pPr>
              <w:pStyle w:val="NoSpacing"/>
              <w:jc w:val="center"/>
              <w:rPr>
                <w:b/>
              </w:rPr>
            </w:pPr>
            <w:r w:rsidRPr="005F329E">
              <w:rPr>
                <w:b/>
              </w:rPr>
              <w:t>Sl.No.</w:t>
            </w:r>
          </w:p>
        </w:tc>
        <w:tc>
          <w:tcPr>
            <w:tcW w:w="2545" w:type="dxa"/>
            <w:vAlign w:val="center"/>
          </w:tcPr>
          <w:p w:rsidR="005F329E" w:rsidRPr="005F329E" w:rsidRDefault="005F329E" w:rsidP="005F329E">
            <w:pPr>
              <w:pStyle w:val="NoSpacing"/>
              <w:jc w:val="center"/>
              <w:rPr>
                <w:b/>
              </w:rPr>
            </w:pPr>
            <w:r w:rsidRPr="005F329E">
              <w:rPr>
                <w:b/>
              </w:rPr>
              <w:t>Particulars</w:t>
            </w:r>
          </w:p>
        </w:tc>
        <w:tc>
          <w:tcPr>
            <w:tcW w:w="5387" w:type="dxa"/>
            <w:vAlign w:val="center"/>
          </w:tcPr>
          <w:p w:rsidR="005F329E" w:rsidRPr="005F329E" w:rsidRDefault="00564BBE" w:rsidP="005F329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Pr="00701E44" w:rsidRDefault="005F329E" w:rsidP="00CE38AA">
            <w:pPr>
              <w:pStyle w:val="NoSpacing"/>
              <w:jc w:val="center"/>
            </w:pPr>
            <w:r w:rsidRPr="00701E44">
              <w:t>1.</w:t>
            </w:r>
          </w:p>
        </w:tc>
        <w:tc>
          <w:tcPr>
            <w:tcW w:w="2545" w:type="dxa"/>
            <w:vAlign w:val="center"/>
          </w:tcPr>
          <w:p w:rsidR="005F329E" w:rsidRPr="00701E44" w:rsidRDefault="005F329E" w:rsidP="005F329E">
            <w:pPr>
              <w:pStyle w:val="NoSpacing"/>
            </w:pPr>
            <w:r>
              <w:t>Project</w:t>
            </w:r>
            <w:r w:rsidR="00CE38AA">
              <w:t xml:space="preserve"> name</w:t>
            </w:r>
          </w:p>
        </w:tc>
        <w:tc>
          <w:tcPr>
            <w:tcW w:w="5387" w:type="dxa"/>
            <w:vAlign w:val="center"/>
          </w:tcPr>
          <w:p w:rsidR="005F329E" w:rsidRPr="00701E44" w:rsidRDefault="00564BBE" w:rsidP="005F329E">
            <w:pPr>
              <w:pStyle w:val="NoSpacing"/>
              <w:jc w:val="right"/>
            </w:pPr>
            <w:r>
              <w:t xml:space="preserve">Hak Chang </w:t>
            </w:r>
            <w:r w:rsidR="005F329E">
              <w:t>SHP</w:t>
            </w:r>
            <w:r w:rsidR="00CE38AA">
              <w:t xml:space="preserve"> at Hak Chang Village, Tuensang, Nagaland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CE38AA" w:rsidP="00CE38AA">
            <w:pPr>
              <w:pStyle w:val="NoSpacing"/>
              <w:jc w:val="center"/>
            </w:pPr>
            <w:r>
              <w:t>2</w:t>
            </w:r>
            <w:r w:rsidR="005F329E">
              <w:t>.</w:t>
            </w:r>
          </w:p>
        </w:tc>
        <w:tc>
          <w:tcPr>
            <w:tcW w:w="2545" w:type="dxa"/>
            <w:vAlign w:val="center"/>
          </w:tcPr>
          <w:p w:rsidR="005F329E" w:rsidRPr="00701E44" w:rsidRDefault="005F329E" w:rsidP="005F329E">
            <w:pPr>
              <w:pStyle w:val="NoSpacing"/>
            </w:pPr>
            <w:r>
              <w:t>Type</w:t>
            </w:r>
          </w:p>
        </w:tc>
        <w:tc>
          <w:tcPr>
            <w:tcW w:w="5387" w:type="dxa"/>
            <w:vAlign w:val="center"/>
          </w:tcPr>
          <w:p w:rsidR="005F329E" w:rsidRPr="00701E44" w:rsidRDefault="00CE38AA" w:rsidP="005F329E">
            <w:pPr>
              <w:pStyle w:val="NoSpacing"/>
              <w:jc w:val="right"/>
            </w:pPr>
            <w:r>
              <w:t xml:space="preserve">22.5 MW (3 x 7.5 MW - Horizontal Francis) </w:t>
            </w:r>
            <w:r w:rsidR="005F329E">
              <w:t>Run-of-the River at Yijung River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CE38AA" w:rsidP="00CE38AA">
            <w:pPr>
              <w:pStyle w:val="NoSpacing"/>
              <w:jc w:val="center"/>
            </w:pPr>
            <w:r>
              <w:t>3</w:t>
            </w:r>
            <w:r w:rsidR="005F329E">
              <w:t>.</w:t>
            </w:r>
          </w:p>
        </w:tc>
        <w:tc>
          <w:tcPr>
            <w:tcW w:w="2545" w:type="dxa"/>
            <w:vAlign w:val="center"/>
          </w:tcPr>
          <w:p w:rsidR="005F329E" w:rsidRPr="00701E44" w:rsidRDefault="005F329E" w:rsidP="005F329E">
            <w:pPr>
              <w:pStyle w:val="NoSpacing"/>
            </w:pPr>
            <w:r>
              <w:t>Penstock</w:t>
            </w:r>
          </w:p>
        </w:tc>
        <w:tc>
          <w:tcPr>
            <w:tcW w:w="5387" w:type="dxa"/>
            <w:vAlign w:val="center"/>
          </w:tcPr>
          <w:p w:rsidR="005F329E" w:rsidRPr="00701E44" w:rsidRDefault="00CE38AA" w:rsidP="005F329E">
            <w:pPr>
              <w:pStyle w:val="NoSpacing"/>
              <w:jc w:val="right"/>
            </w:pPr>
            <w:r>
              <w:t>(2.4 x 2800)</w:t>
            </w:r>
            <w:r w:rsidR="005F329E">
              <w:t>m</w:t>
            </w:r>
            <w:r>
              <w:t xml:space="preserve"> &amp; 118 m Head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CE38AA" w:rsidP="00CE38AA">
            <w:pPr>
              <w:pStyle w:val="NoSpacing"/>
              <w:jc w:val="center"/>
            </w:pPr>
            <w:r>
              <w:t>4</w:t>
            </w:r>
            <w:r w:rsidR="005F329E">
              <w:t>.</w:t>
            </w:r>
          </w:p>
        </w:tc>
        <w:tc>
          <w:tcPr>
            <w:tcW w:w="2545" w:type="dxa"/>
            <w:vAlign w:val="center"/>
          </w:tcPr>
          <w:p w:rsidR="005F329E" w:rsidRPr="005F329E" w:rsidRDefault="005F329E" w:rsidP="005F329E">
            <w:pPr>
              <w:pStyle w:val="NoSpacing"/>
              <w:rPr>
                <w:b/>
              </w:rPr>
            </w:pPr>
            <w:r w:rsidRPr="005F329E">
              <w:rPr>
                <w:b/>
              </w:rPr>
              <w:t>Estimated Cost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center"/>
            </w:pPr>
            <w:r>
              <w:t>(</w:t>
            </w:r>
            <w:r>
              <w:rPr>
                <w:rFonts w:ascii="Rupee Foradian" w:hAnsi="Rupee Foradian"/>
              </w:rPr>
              <w:t xml:space="preserve">`. </w:t>
            </w:r>
            <w:r w:rsidRPr="005F329E">
              <w:rPr>
                <w:rFonts w:asciiTheme="minorHAnsi" w:hAnsiTheme="minorHAnsi"/>
                <w:i/>
              </w:rPr>
              <w:t>In Lakhs per MW</w:t>
            </w:r>
            <w:r>
              <w:t>)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5F329E" w:rsidP="00CE38AA">
            <w:pPr>
              <w:pStyle w:val="NoSpacing"/>
              <w:jc w:val="center"/>
            </w:pP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>a) Civil and H&amp;M Works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right"/>
            </w:pPr>
            <w:r>
              <w:t>10,118/-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5F329E" w:rsidP="00CE38AA">
            <w:pPr>
              <w:pStyle w:val="NoSpacing"/>
              <w:jc w:val="center"/>
            </w:pPr>
          </w:p>
        </w:tc>
        <w:tc>
          <w:tcPr>
            <w:tcW w:w="2545" w:type="dxa"/>
            <w:vAlign w:val="center"/>
          </w:tcPr>
          <w:p w:rsidR="005F329E" w:rsidRPr="00701E44" w:rsidRDefault="005F329E" w:rsidP="005F329E">
            <w:pPr>
              <w:pStyle w:val="NoSpacing"/>
            </w:pPr>
            <w:r>
              <w:t>b) E&amp;M Works</w:t>
            </w:r>
          </w:p>
        </w:tc>
        <w:tc>
          <w:tcPr>
            <w:tcW w:w="5387" w:type="dxa"/>
            <w:vAlign w:val="center"/>
          </w:tcPr>
          <w:p w:rsidR="005F329E" w:rsidRPr="00701E44" w:rsidRDefault="005F329E" w:rsidP="005F329E">
            <w:pPr>
              <w:pStyle w:val="NoSpacing"/>
              <w:jc w:val="right"/>
            </w:pPr>
            <w:r>
              <w:t>4,400/-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5F329E" w:rsidP="00CE38AA">
            <w:pPr>
              <w:pStyle w:val="NoSpacing"/>
              <w:jc w:val="center"/>
            </w:pP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>c) Transmission Line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right"/>
            </w:pPr>
            <w:r>
              <w:t>2,500/-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5F329E" w:rsidP="00CE38AA">
            <w:pPr>
              <w:pStyle w:val="NoSpacing"/>
              <w:jc w:val="center"/>
            </w:pP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>d) Others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right"/>
            </w:pPr>
            <w:r>
              <w:t>2,715/-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5F329E" w:rsidP="00CE38AA">
            <w:pPr>
              <w:pStyle w:val="NoSpacing"/>
              <w:jc w:val="center"/>
            </w:pP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>Total Project cost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right"/>
            </w:pPr>
            <w:r>
              <w:t>19,733/-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5F329E" w:rsidP="00CE38AA">
            <w:pPr>
              <w:pStyle w:val="NoSpacing"/>
              <w:jc w:val="center"/>
            </w:pP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>e) I D C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right"/>
            </w:pPr>
            <w:r>
              <w:t>2,764/-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5F329E" w:rsidP="00CE38AA">
            <w:pPr>
              <w:pStyle w:val="NoSpacing"/>
              <w:jc w:val="center"/>
            </w:pPr>
          </w:p>
        </w:tc>
        <w:tc>
          <w:tcPr>
            <w:tcW w:w="2545" w:type="dxa"/>
            <w:vAlign w:val="center"/>
          </w:tcPr>
          <w:p w:rsidR="005F329E" w:rsidRPr="005F329E" w:rsidRDefault="005F329E" w:rsidP="00CE38AA">
            <w:pPr>
              <w:pStyle w:val="NoSpacing"/>
              <w:rPr>
                <w:b/>
              </w:rPr>
            </w:pPr>
            <w:r w:rsidRPr="005F329E">
              <w:rPr>
                <w:b/>
              </w:rPr>
              <w:t xml:space="preserve">Total Project cost </w:t>
            </w:r>
          </w:p>
        </w:tc>
        <w:tc>
          <w:tcPr>
            <w:tcW w:w="5387" w:type="dxa"/>
            <w:vAlign w:val="center"/>
          </w:tcPr>
          <w:p w:rsidR="005F329E" w:rsidRPr="005F329E" w:rsidRDefault="00CE38AA" w:rsidP="005F329E">
            <w:pPr>
              <w:pStyle w:val="NoSpacing"/>
              <w:jc w:val="right"/>
              <w:rPr>
                <w:b/>
              </w:rPr>
            </w:pPr>
            <w:r w:rsidRPr="005F329E">
              <w:rPr>
                <w:b/>
              </w:rPr>
              <w:t xml:space="preserve">with IDC </w:t>
            </w:r>
            <w:r>
              <w:rPr>
                <w:b/>
              </w:rPr>
              <w:t xml:space="preserve"> </w:t>
            </w:r>
            <w:r w:rsidR="005F329E" w:rsidRPr="005F329E">
              <w:rPr>
                <w:b/>
              </w:rPr>
              <w:t>22,500/-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CE38AA" w:rsidP="00CE38AA">
            <w:pPr>
              <w:pStyle w:val="NoSpacing"/>
              <w:jc w:val="center"/>
            </w:pPr>
            <w:r>
              <w:t>5</w:t>
            </w:r>
            <w:r w:rsidR="005F329E">
              <w:t>.</w:t>
            </w: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>Equity</w:t>
            </w:r>
            <w:r w:rsidR="00CE38AA">
              <w:t xml:space="preserve"> &amp; Loan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right"/>
            </w:pPr>
            <w:r>
              <w:t>5,625/-</w:t>
            </w:r>
            <w:r w:rsidR="00CE38AA">
              <w:t xml:space="preserve"> &amp; 16,875/- respectively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CE38AA" w:rsidP="00CE38AA">
            <w:pPr>
              <w:pStyle w:val="NoSpacing"/>
              <w:jc w:val="center"/>
            </w:pPr>
            <w:r>
              <w:t>6</w:t>
            </w:r>
            <w:r w:rsidR="005F329E">
              <w:t>.</w:t>
            </w: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>Interest on Loan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right"/>
            </w:pPr>
            <w:r>
              <w:t>12 %</w:t>
            </w:r>
            <w:r w:rsidR="00CE38AA">
              <w:t xml:space="preserve"> for 10 years</w:t>
            </w:r>
          </w:p>
        </w:tc>
      </w:tr>
      <w:tr w:rsidR="005F329E" w:rsidTr="00CE38AA">
        <w:tc>
          <w:tcPr>
            <w:tcW w:w="857" w:type="dxa"/>
            <w:vAlign w:val="center"/>
          </w:tcPr>
          <w:p w:rsidR="005F329E" w:rsidRDefault="00CE38AA" w:rsidP="00CE38AA">
            <w:pPr>
              <w:pStyle w:val="NoSpacing"/>
              <w:jc w:val="center"/>
            </w:pPr>
            <w:r>
              <w:t>7</w:t>
            </w:r>
            <w:r w:rsidR="005F329E">
              <w:t>.</w:t>
            </w: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 xml:space="preserve">Return on equity 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right"/>
            </w:pPr>
            <w:r>
              <w:t>6.25 %</w:t>
            </w:r>
          </w:p>
        </w:tc>
      </w:tr>
      <w:tr w:rsidR="005F329E" w:rsidTr="00CE38AA">
        <w:trPr>
          <w:trHeight w:val="270"/>
        </w:trPr>
        <w:tc>
          <w:tcPr>
            <w:tcW w:w="857" w:type="dxa"/>
            <w:vMerge w:val="restart"/>
            <w:vAlign w:val="center"/>
          </w:tcPr>
          <w:p w:rsidR="005F329E" w:rsidRDefault="00CE38AA" w:rsidP="00CE38AA">
            <w:pPr>
              <w:pStyle w:val="NoSpacing"/>
              <w:jc w:val="center"/>
            </w:pPr>
            <w:r>
              <w:t>8</w:t>
            </w:r>
            <w:r w:rsidR="005F329E">
              <w:t>.</w:t>
            </w:r>
          </w:p>
        </w:tc>
        <w:tc>
          <w:tcPr>
            <w:tcW w:w="2545" w:type="dxa"/>
            <w:vAlign w:val="center"/>
          </w:tcPr>
          <w:p w:rsidR="005F329E" w:rsidRPr="005F329E" w:rsidRDefault="005F329E" w:rsidP="00CE38AA">
            <w:pPr>
              <w:pStyle w:val="NoSpacing"/>
              <w:rPr>
                <w:b/>
              </w:rPr>
            </w:pPr>
            <w:r w:rsidRPr="005F329E">
              <w:rPr>
                <w:b/>
              </w:rPr>
              <w:t xml:space="preserve">Proposed </w:t>
            </w:r>
            <w:r w:rsidR="00CE38AA">
              <w:rPr>
                <w:b/>
              </w:rPr>
              <w:t xml:space="preserve">average </w:t>
            </w:r>
            <w:r w:rsidRPr="005F329E">
              <w:rPr>
                <w:b/>
              </w:rPr>
              <w:t>Tariff</w:t>
            </w:r>
            <w:r w:rsidR="00CE38AA">
              <w:rPr>
                <w:b/>
              </w:rPr>
              <w:t xml:space="preserve"> for 35 years</w:t>
            </w:r>
          </w:p>
        </w:tc>
        <w:tc>
          <w:tcPr>
            <w:tcW w:w="5387" w:type="dxa"/>
            <w:vAlign w:val="center"/>
          </w:tcPr>
          <w:p w:rsidR="005F329E" w:rsidRDefault="00CE38AA" w:rsidP="005F329E">
            <w:pPr>
              <w:pStyle w:val="NoSpacing"/>
              <w:jc w:val="right"/>
            </w:pPr>
            <w:r>
              <w:t>3.16/kwh</w:t>
            </w:r>
          </w:p>
        </w:tc>
      </w:tr>
      <w:tr w:rsidR="005F329E" w:rsidTr="00CE38AA">
        <w:trPr>
          <w:trHeight w:val="255"/>
        </w:trPr>
        <w:tc>
          <w:tcPr>
            <w:tcW w:w="857" w:type="dxa"/>
            <w:vMerge/>
            <w:vAlign w:val="center"/>
          </w:tcPr>
          <w:p w:rsidR="005F329E" w:rsidRDefault="005F329E" w:rsidP="005F329E">
            <w:pPr>
              <w:pStyle w:val="NoSpacing"/>
            </w:pP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>a) Initially upto 10</w:t>
            </w:r>
            <w:r w:rsidRPr="005F329E">
              <w:rPr>
                <w:vertAlign w:val="superscript"/>
              </w:rPr>
              <w:t>th</w:t>
            </w:r>
            <w:r>
              <w:t xml:space="preserve"> years</w:t>
            </w:r>
          </w:p>
        </w:tc>
        <w:tc>
          <w:tcPr>
            <w:tcW w:w="5387" w:type="dxa"/>
            <w:vAlign w:val="center"/>
          </w:tcPr>
          <w:p w:rsidR="005F329E" w:rsidRDefault="00CE38AA" w:rsidP="005F329E">
            <w:pPr>
              <w:pStyle w:val="NoSpacing"/>
              <w:jc w:val="right"/>
            </w:pPr>
            <w:r>
              <w:t>4.73/kwh</w:t>
            </w:r>
          </w:p>
        </w:tc>
      </w:tr>
      <w:tr w:rsidR="005F329E" w:rsidTr="00CE38AA">
        <w:trPr>
          <w:trHeight w:val="300"/>
        </w:trPr>
        <w:tc>
          <w:tcPr>
            <w:tcW w:w="857" w:type="dxa"/>
            <w:vMerge/>
            <w:vAlign w:val="center"/>
          </w:tcPr>
          <w:p w:rsidR="005F329E" w:rsidRDefault="005F329E" w:rsidP="005F329E">
            <w:pPr>
              <w:pStyle w:val="NoSpacing"/>
            </w:pPr>
          </w:p>
        </w:tc>
        <w:tc>
          <w:tcPr>
            <w:tcW w:w="2545" w:type="dxa"/>
            <w:vAlign w:val="center"/>
          </w:tcPr>
          <w:p w:rsidR="005F329E" w:rsidRDefault="005F329E" w:rsidP="005F329E">
            <w:pPr>
              <w:pStyle w:val="NoSpacing"/>
            </w:pPr>
            <w:r>
              <w:t>b) 11</w:t>
            </w:r>
            <w:r w:rsidRPr="005F329E">
              <w:rPr>
                <w:vertAlign w:val="superscript"/>
              </w:rPr>
              <w:t>th</w:t>
            </w:r>
            <w:r>
              <w:t xml:space="preserve"> years onwards</w:t>
            </w:r>
          </w:p>
        </w:tc>
        <w:tc>
          <w:tcPr>
            <w:tcW w:w="5387" w:type="dxa"/>
            <w:vAlign w:val="center"/>
          </w:tcPr>
          <w:p w:rsidR="005F329E" w:rsidRDefault="005F329E" w:rsidP="005F329E">
            <w:pPr>
              <w:pStyle w:val="NoSpacing"/>
              <w:jc w:val="right"/>
            </w:pPr>
            <w:r>
              <w:t>2.52/kwh</w:t>
            </w:r>
          </w:p>
        </w:tc>
      </w:tr>
    </w:tbl>
    <w:p w:rsidR="005322A9" w:rsidRPr="005322A9" w:rsidRDefault="005322A9" w:rsidP="00CE38AA">
      <w:pPr>
        <w:pStyle w:val="NoSpacing"/>
      </w:pPr>
    </w:p>
    <w:p w:rsidR="005F329E" w:rsidRDefault="005F329E" w:rsidP="005F329E">
      <w:pPr>
        <w:pStyle w:val="BodyTextIndent3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Objections / Suggestions, if any on the DPR and tariff proposal submitted </w:t>
      </w:r>
      <w:r w:rsidR="00564BBE">
        <w:t>by</w:t>
      </w:r>
      <w:r>
        <w:t xml:space="preserve"> the developer</w:t>
      </w:r>
      <w:r w:rsidR="00D515C6" w:rsidRPr="00D515C6">
        <w:t xml:space="preserve"> </w:t>
      </w:r>
      <w:r w:rsidR="00D515C6">
        <w:t>through the State Government</w:t>
      </w:r>
      <w:r>
        <w:t>, together with supporting material</w:t>
      </w:r>
      <w:r w:rsidR="00564BBE">
        <w:t>s</w:t>
      </w:r>
      <w:r>
        <w:t xml:space="preserve"> may be filed </w:t>
      </w:r>
      <w:r w:rsidR="00564BBE">
        <w:t>before</w:t>
      </w:r>
      <w:r>
        <w:t xml:space="preserve"> the Secretary, Nagaland Electricity Regulatory Commission in person or through registered post so as to reach the Commission on or before 0</w:t>
      </w:r>
      <w:r w:rsidR="00564BBE">
        <w:t>8</w:t>
      </w:r>
      <w:r w:rsidRPr="00394E7D">
        <w:rPr>
          <w:vertAlign w:val="superscript"/>
        </w:rPr>
        <w:t>th</w:t>
      </w:r>
      <w:r w:rsidR="00564BBE">
        <w:t xml:space="preserve"> Dec., 2017 under the above address.</w:t>
      </w:r>
    </w:p>
    <w:p w:rsidR="00564BBE" w:rsidRDefault="00564BBE" w:rsidP="005F329E">
      <w:pPr>
        <w:pStyle w:val="BodyTextIndent3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lastRenderedPageBreak/>
        <w:t>The Commission shall hold Public Hearing on the above matter as per the date, time and venue as indicated below:</w:t>
      </w:r>
    </w:p>
    <w:p w:rsidR="005F329E" w:rsidRDefault="005F329E" w:rsidP="00E31509">
      <w:pPr>
        <w:jc w:val="both"/>
      </w:pPr>
    </w:p>
    <w:tbl>
      <w:tblPr>
        <w:tblStyle w:val="TableGrid"/>
        <w:tblW w:w="0" w:type="auto"/>
        <w:tblInd w:w="1490" w:type="dxa"/>
        <w:tblLook w:val="04A0"/>
      </w:tblPr>
      <w:tblGrid>
        <w:gridCol w:w="3227"/>
        <w:gridCol w:w="3613"/>
      </w:tblGrid>
      <w:tr w:rsidR="00E31509" w:rsidTr="0037654E">
        <w:tc>
          <w:tcPr>
            <w:tcW w:w="3227" w:type="dxa"/>
          </w:tcPr>
          <w:p w:rsidR="00E31509" w:rsidRPr="00C976A3" w:rsidRDefault="00E31509" w:rsidP="000C63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76A3">
              <w:rPr>
                <w:rFonts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3613" w:type="dxa"/>
          </w:tcPr>
          <w:p w:rsidR="00E31509" w:rsidRPr="00C976A3" w:rsidRDefault="00E31509" w:rsidP="000C63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76A3">
              <w:rPr>
                <w:rFonts w:cs="Times New Roman"/>
                <w:b/>
                <w:sz w:val="24"/>
                <w:szCs w:val="24"/>
              </w:rPr>
              <w:t>Venue</w:t>
            </w:r>
          </w:p>
        </w:tc>
      </w:tr>
      <w:tr w:rsidR="00E31509" w:rsidTr="0037654E">
        <w:trPr>
          <w:trHeight w:val="728"/>
        </w:trPr>
        <w:tc>
          <w:tcPr>
            <w:tcW w:w="3227" w:type="dxa"/>
          </w:tcPr>
          <w:p w:rsidR="00D515C6" w:rsidRDefault="00E31509" w:rsidP="000C638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31509" w:rsidRDefault="00D515C6" w:rsidP="00D515C6">
            <w:pPr>
              <w:jc w:val="both"/>
              <w:rPr>
                <w:rFonts w:cs="Times New Roman"/>
                <w:sz w:val="24"/>
                <w:szCs w:val="24"/>
              </w:rPr>
            </w:pPr>
            <w:r w:rsidRPr="00D515C6">
              <w:rPr>
                <w:rFonts w:cs="Times New Roman"/>
                <w:sz w:val="24"/>
                <w:szCs w:val="24"/>
              </w:rPr>
              <w:t>13</w:t>
            </w:r>
            <w:r w:rsidRPr="00D515C6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D515C6">
              <w:rPr>
                <w:rFonts w:cs="Times New Roman"/>
                <w:sz w:val="24"/>
                <w:szCs w:val="24"/>
              </w:rPr>
              <w:t xml:space="preserve"> Dec., 2017</w:t>
            </w:r>
            <w:r>
              <w:rPr>
                <w:rFonts w:cs="Times New Roman"/>
                <w:sz w:val="24"/>
                <w:szCs w:val="24"/>
              </w:rPr>
              <w:t xml:space="preserve"> from 10:00 am to 01:00 pm</w:t>
            </w:r>
          </w:p>
          <w:p w:rsidR="00D515C6" w:rsidRPr="00D515C6" w:rsidRDefault="00D515C6" w:rsidP="00D515C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E31509" w:rsidRDefault="00E31509" w:rsidP="0057459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15C6" w:rsidRDefault="00D515C6" w:rsidP="0037654E">
            <w:pPr>
              <w:jc w:val="both"/>
              <w:rPr>
                <w:rFonts w:cs="Times New Roman"/>
                <w:sz w:val="24"/>
                <w:szCs w:val="24"/>
              </w:rPr>
            </w:pPr>
            <w:r w:rsidRPr="00D515C6">
              <w:rPr>
                <w:rFonts w:cs="Times New Roman"/>
                <w:sz w:val="24"/>
                <w:szCs w:val="24"/>
              </w:rPr>
              <w:t xml:space="preserve">Hotel </w:t>
            </w:r>
            <w:r w:rsidR="0037654E">
              <w:rPr>
                <w:rFonts w:cs="Times New Roman"/>
                <w:sz w:val="24"/>
                <w:szCs w:val="24"/>
              </w:rPr>
              <w:t>Cimorb</w:t>
            </w:r>
            <w:r>
              <w:rPr>
                <w:rFonts w:cs="Times New Roman"/>
                <w:sz w:val="24"/>
                <w:szCs w:val="24"/>
              </w:rPr>
              <w:t>’s Conference Hall</w:t>
            </w:r>
            <w:r w:rsidR="0037654E">
              <w:rPr>
                <w:rFonts w:cs="Times New Roman"/>
                <w:sz w:val="24"/>
                <w:szCs w:val="24"/>
              </w:rPr>
              <w:t>, Old Minister’s Hill, Near BSNL Telephone Exchange, Nagaland, Kohima.</w:t>
            </w:r>
          </w:p>
          <w:p w:rsidR="0037654E" w:rsidRPr="00D515C6" w:rsidRDefault="0037654E" w:rsidP="0037654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515C6" w:rsidRDefault="00D515C6" w:rsidP="008856B3">
      <w:pPr>
        <w:tabs>
          <w:tab w:val="left" w:pos="3345"/>
        </w:tabs>
        <w:jc w:val="both"/>
        <w:rPr>
          <w:rFonts w:cs="Times New Roman"/>
          <w:sz w:val="24"/>
          <w:szCs w:val="24"/>
        </w:rPr>
      </w:pPr>
    </w:p>
    <w:p w:rsidR="0057459C" w:rsidRDefault="0057459C" w:rsidP="00E31509">
      <w:pPr>
        <w:tabs>
          <w:tab w:val="left" w:pos="3345"/>
        </w:tabs>
      </w:pPr>
    </w:p>
    <w:p w:rsidR="009712C1" w:rsidRPr="00E41368" w:rsidRDefault="00E41368" w:rsidP="00E41368">
      <w:pPr>
        <w:pStyle w:val="NoSpacing"/>
        <w:ind w:left="504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41368">
        <w:rPr>
          <w:rFonts w:asciiTheme="minorHAnsi" w:hAnsiTheme="minorHAnsi" w:cstheme="minorHAnsi"/>
          <w:i/>
          <w:sz w:val="24"/>
          <w:szCs w:val="24"/>
        </w:rPr>
        <w:t>Sd/-</w:t>
      </w:r>
    </w:p>
    <w:p w:rsidR="009712C1" w:rsidRPr="00715461" w:rsidRDefault="009712C1" w:rsidP="009712C1">
      <w:pPr>
        <w:pStyle w:val="NoSpacing"/>
        <w:ind w:left="5040"/>
        <w:jc w:val="center"/>
        <w:rPr>
          <w:rFonts w:asciiTheme="minorHAnsi" w:hAnsiTheme="minorHAnsi" w:cstheme="minorHAnsi"/>
          <w:sz w:val="24"/>
          <w:szCs w:val="24"/>
        </w:rPr>
      </w:pPr>
      <w:r w:rsidRPr="00715461">
        <w:rPr>
          <w:rFonts w:asciiTheme="minorHAnsi" w:hAnsiTheme="minorHAnsi" w:cstheme="minorHAnsi"/>
          <w:sz w:val="24"/>
          <w:szCs w:val="24"/>
        </w:rPr>
        <w:t xml:space="preserve"> </w:t>
      </w:r>
      <w:r w:rsidRPr="00715461">
        <w:rPr>
          <w:rFonts w:asciiTheme="minorHAnsi" w:hAnsiTheme="minorHAnsi" w:cstheme="minorHAnsi"/>
          <w:b/>
          <w:sz w:val="24"/>
          <w:szCs w:val="24"/>
        </w:rPr>
        <w:t>W.Y. YANTHAN</w:t>
      </w:r>
      <w:r w:rsidRPr="007154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12C1" w:rsidRPr="00715461" w:rsidRDefault="009712C1" w:rsidP="009712C1">
      <w:pPr>
        <w:pStyle w:val="NoSpacing"/>
        <w:ind w:left="5040"/>
        <w:jc w:val="center"/>
        <w:rPr>
          <w:rFonts w:asciiTheme="minorHAnsi" w:hAnsiTheme="minorHAnsi" w:cstheme="minorHAnsi"/>
          <w:sz w:val="24"/>
          <w:szCs w:val="24"/>
        </w:rPr>
      </w:pPr>
      <w:r w:rsidRPr="00715461">
        <w:rPr>
          <w:rFonts w:asciiTheme="minorHAnsi" w:hAnsiTheme="minorHAnsi" w:cstheme="minorHAnsi"/>
          <w:sz w:val="24"/>
          <w:szCs w:val="24"/>
        </w:rPr>
        <w:t>Secretary</w:t>
      </w:r>
      <w:r w:rsidR="00707D7C">
        <w:rPr>
          <w:rFonts w:asciiTheme="minorHAnsi" w:hAnsiTheme="minorHAnsi" w:cstheme="minorHAnsi"/>
          <w:sz w:val="24"/>
          <w:szCs w:val="24"/>
        </w:rPr>
        <w:t>,</w:t>
      </w:r>
    </w:p>
    <w:p w:rsidR="009712C1" w:rsidRPr="00715461" w:rsidRDefault="009712C1" w:rsidP="009712C1">
      <w:pPr>
        <w:pStyle w:val="NoSpacing"/>
        <w:ind w:left="5040"/>
        <w:jc w:val="center"/>
        <w:rPr>
          <w:rFonts w:asciiTheme="minorHAnsi" w:hAnsiTheme="minorHAnsi" w:cstheme="minorHAnsi"/>
          <w:sz w:val="24"/>
          <w:szCs w:val="24"/>
        </w:rPr>
      </w:pPr>
      <w:r w:rsidRPr="00715461">
        <w:rPr>
          <w:rFonts w:asciiTheme="minorHAnsi" w:hAnsiTheme="minorHAnsi" w:cstheme="minorHAnsi"/>
          <w:sz w:val="24"/>
          <w:szCs w:val="24"/>
        </w:rPr>
        <w:t>Nagaland Electricity Regulatory</w:t>
      </w:r>
    </w:p>
    <w:p w:rsidR="009712C1" w:rsidRDefault="009712C1" w:rsidP="009712C1">
      <w:pPr>
        <w:pStyle w:val="NoSpacing"/>
        <w:ind w:left="5040"/>
        <w:jc w:val="center"/>
        <w:rPr>
          <w:rFonts w:asciiTheme="minorHAnsi" w:hAnsiTheme="minorHAnsi" w:cstheme="minorHAnsi"/>
          <w:sz w:val="24"/>
          <w:szCs w:val="24"/>
        </w:rPr>
      </w:pPr>
      <w:r w:rsidRPr="00715461">
        <w:rPr>
          <w:rFonts w:asciiTheme="minorHAnsi" w:hAnsiTheme="minorHAnsi" w:cstheme="minorHAnsi"/>
          <w:sz w:val="24"/>
          <w:szCs w:val="24"/>
        </w:rPr>
        <w:t>Commission (NERC), Kohima.</w:t>
      </w:r>
    </w:p>
    <w:p w:rsidR="009712C1" w:rsidRPr="00E31509" w:rsidRDefault="009712C1" w:rsidP="00E31509">
      <w:pPr>
        <w:tabs>
          <w:tab w:val="left" w:pos="3345"/>
        </w:tabs>
      </w:pPr>
    </w:p>
    <w:sectPr w:rsidR="009712C1" w:rsidRPr="00E31509" w:rsidSect="005F329E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EB" w:rsidRDefault="001F78EB" w:rsidP="005322A9">
      <w:pPr>
        <w:spacing w:after="0" w:line="240" w:lineRule="auto"/>
      </w:pPr>
      <w:r>
        <w:separator/>
      </w:r>
    </w:p>
  </w:endnote>
  <w:endnote w:type="continuationSeparator" w:id="1">
    <w:p w:rsidR="001F78EB" w:rsidRDefault="001F78EB" w:rsidP="0053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EB" w:rsidRDefault="001F78EB" w:rsidP="005322A9">
      <w:pPr>
        <w:spacing w:after="0" w:line="240" w:lineRule="auto"/>
      </w:pPr>
      <w:r>
        <w:separator/>
      </w:r>
    </w:p>
  </w:footnote>
  <w:footnote w:type="continuationSeparator" w:id="1">
    <w:p w:rsidR="001F78EB" w:rsidRDefault="001F78EB" w:rsidP="0053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E40"/>
    <w:multiLevelType w:val="hybridMultilevel"/>
    <w:tmpl w:val="BA5CD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D442A"/>
    <w:multiLevelType w:val="hybridMultilevel"/>
    <w:tmpl w:val="A5B473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19FF"/>
    <w:multiLevelType w:val="hybridMultilevel"/>
    <w:tmpl w:val="EB2C78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94E"/>
    <w:rsid w:val="000159DB"/>
    <w:rsid w:val="0009354E"/>
    <w:rsid w:val="0013213C"/>
    <w:rsid w:val="001D5A3C"/>
    <w:rsid w:val="001F78EB"/>
    <w:rsid w:val="002D0148"/>
    <w:rsid w:val="002E122A"/>
    <w:rsid w:val="00317CDB"/>
    <w:rsid w:val="0037654E"/>
    <w:rsid w:val="003A2D3D"/>
    <w:rsid w:val="003B45AF"/>
    <w:rsid w:val="005322A9"/>
    <w:rsid w:val="005548DA"/>
    <w:rsid w:val="00564BBE"/>
    <w:rsid w:val="0057459C"/>
    <w:rsid w:val="005770E9"/>
    <w:rsid w:val="005F329E"/>
    <w:rsid w:val="006316E1"/>
    <w:rsid w:val="00667FB2"/>
    <w:rsid w:val="00707D7C"/>
    <w:rsid w:val="0074777B"/>
    <w:rsid w:val="007517EE"/>
    <w:rsid w:val="00765603"/>
    <w:rsid w:val="007D4845"/>
    <w:rsid w:val="00833433"/>
    <w:rsid w:val="00833CED"/>
    <w:rsid w:val="00847B15"/>
    <w:rsid w:val="008770E6"/>
    <w:rsid w:val="008856B3"/>
    <w:rsid w:val="008877B6"/>
    <w:rsid w:val="008C036A"/>
    <w:rsid w:val="008C1F03"/>
    <w:rsid w:val="0096038B"/>
    <w:rsid w:val="009712C1"/>
    <w:rsid w:val="00AF69C3"/>
    <w:rsid w:val="00B245BB"/>
    <w:rsid w:val="00BC58A4"/>
    <w:rsid w:val="00BF7B51"/>
    <w:rsid w:val="00C569E6"/>
    <w:rsid w:val="00CC394E"/>
    <w:rsid w:val="00CE38AA"/>
    <w:rsid w:val="00D011BC"/>
    <w:rsid w:val="00D515C6"/>
    <w:rsid w:val="00DF551D"/>
    <w:rsid w:val="00E31509"/>
    <w:rsid w:val="00E41368"/>
    <w:rsid w:val="00F32D71"/>
    <w:rsid w:val="00F3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5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15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329E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BodyTextIndent3">
    <w:name w:val="Body Text Indent 3"/>
    <w:basedOn w:val="Normal"/>
    <w:link w:val="BodyTextIndent3Char"/>
    <w:semiHidden/>
    <w:rsid w:val="005F329E"/>
    <w:pPr>
      <w:spacing w:after="0" w:line="360" w:lineRule="auto"/>
      <w:ind w:left="360" w:hanging="360"/>
    </w:pPr>
    <w:rPr>
      <w:rFonts w:ascii="Arial" w:eastAsia="Times New Roman" w:hAnsi="Arial" w:cs="Arial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329E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3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2A9"/>
  </w:style>
  <w:style w:type="paragraph" w:styleId="Footer">
    <w:name w:val="footer"/>
    <w:basedOn w:val="Normal"/>
    <w:link w:val="FooterChar"/>
    <w:uiPriority w:val="99"/>
    <w:semiHidden/>
    <w:unhideWhenUsed/>
    <w:rsid w:val="0053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5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15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nerc.org.in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AA98-FE41-4413-B909-DC7D7596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 Chawla</dc:creator>
  <cp:lastModifiedBy>user</cp:lastModifiedBy>
  <cp:revision>17</cp:revision>
  <cp:lastPrinted>2017-11-30T05:52:00Z</cp:lastPrinted>
  <dcterms:created xsi:type="dcterms:W3CDTF">2017-11-28T07:32:00Z</dcterms:created>
  <dcterms:modified xsi:type="dcterms:W3CDTF">2017-11-30T07:31:00Z</dcterms:modified>
</cp:coreProperties>
</file>